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 Bill to [Action Word] [article] [Object] to </w:t>
        <w:br w:type="textWrapping"/>
        <w:t xml:space="preserve">[Summarize the Solution Specifically]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360"/>
        <w:gridCol w:w="9000"/>
        <w:tblGridChange w:id="0">
          <w:tblGrid>
            <w:gridCol w:w="360"/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.99999999999994" w:lineRule="auto"/>
              <w:ind w:left="0" w:right="0" w:firstLine="0"/>
              <w:jc w:val="left"/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0" w:firstLine="0"/>
              <w:rPr/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BE IT ENACTED BY THE CONGRESS HERE ASSEMBLED THAT: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SECTION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  <w:tab/>
              <w:t xml:space="preserve">State the new policy in one or a few brief declarative sentence(s).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SECTION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  <w:tab/>
              <w:t xml:space="preserve">In one of the sections, you may define ambiguous terms not obviously clear or technical in nature (consult U.S. Code uscode.house.gov if necessary).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SECTION 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Name the government agency(ies) that will oversee enforcement along with the specific enforcement mechanism.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80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Subsections may be used to elaborate further details, but only needed if you need to have more than one subsection.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80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would be a second subsection.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144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 4.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This legislation will take effect on [insert date here, formatted as “FY 2021” or “July 1, 2021” but not “July 1st”]. All laws in conflict with this legislation are hereby declared null and void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1440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Introduced for Congressional Debate by ______.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008" w:left="1727.999999999999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Calibri" w:cs="Calibri" w:eastAsia="Calibri" w:hAnsi="Calibri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